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4" w:type="dxa"/>
        <w:jc w:val="center"/>
        <w:tblInd w:w="-266" w:type="dxa"/>
        <w:tblCellMar>
          <w:left w:w="0" w:type="dxa"/>
          <w:right w:w="0" w:type="dxa"/>
        </w:tblCellMar>
        <w:tblLook w:val="04A0" w:firstRow="1" w:lastRow="0" w:firstColumn="1" w:lastColumn="0" w:noHBand="0" w:noVBand="1"/>
      </w:tblPr>
      <w:tblGrid>
        <w:gridCol w:w="10354"/>
      </w:tblGrid>
      <w:tr w:rsidR="00C329C3" w:rsidTr="00C329C3">
        <w:trPr>
          <w:trHeight w:val="13950"/>
          <w:jc w:val="center"/>
        </w:trPr>
        <w:tc>
          <w:tcPr>
            <w:tcW w:w="10354" w:type="dxa"/>
            <w:tcMar>
              <w:top w:w="0" w:type="dxa"/>
              <w:left w:w="0" w:type="dxa"/>
              <w:bottom w:w="30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10103"/>
            </w:tblGrid>
            <w:tr w:rsidR="00C329C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29C3">
                    <w:trPr>
                      <w:jc w:val="center"/>
                    </w:trPr>
                    <w:tc>
                      <w:tcPr>
                        <w:tcW w:w="5000" w:type="pct"/>
                        <w:shd w:val="clear" w:color="auto" w:fill="003764"/>
                        <w:vAlign w:val="center"/>
                        <w:hideMark/>
                      </w:tcPr>
                      <w:tbl>
                        <w:tblPr>
                          <w:tblW w:w="5000" w:type="pct"/>
                          <w:tblCellMar>
                            <w:left w:w="0" w:type="dxa"/>
                            <w:right w:w="0" w:type="dxa"/>
                          </w:tblCellMar>
                          <w:tblLook w:val="04A0" w:firstRow="1" w:lastRow="0" w:firstColumn="1" w:lastColumn="0" w:noHBand="0" w:noVBand="1"/>
                        </w:tblPr>
                        <w:tblGrid>
                          <w:gridCol w:w="9000"/>
                        </w:tblGrid>
                        <w:tr w:rsidR="00C329C3">
                          <w:tc>
                            <w:tcPr>
                              <w:tcW w:w="0" w:type="auto"/>
                              <w:vAlign w:val="center"/>
                              <w:hideMark/>
                            </w:tcPr>
                            <w:p w:rsidR="00C329C3" w:rsidRDefault="00C329C3" w:rsidP="00C329C3">
                              <w:pPr>
                                <w:jc w:val="center"/>
                                <w:rPr>
                                  <w:sz w:val="24"/>
                                  <w:szCs w:val="24"/>
                                </w:rPr>
                              </w:pPr>
                              <w:r>
                                <w:rPr>
                                  <w:noProof/>
                                </w:rPr>
                                <w:drawing>
                                  <wp:inline distT="0" distB="0" distL="0" distR="0" wp14:anchorId="0352B433" wp14:editId="16D7C30D">
                                    <wp:extent cx="5715000" cy="657225"/>
                                    <wp:effectExtent l="0" t="0" r="0" b="9525"/>
                                    <wp:docPr id="2" name="Picture 2" descr="Minnesota Department of Human Services logo and hexago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nnesota Department of Human Services logo and hexagon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657225"/>
                                            </a:xfrm>
                                            <a:prstGeom prst="rect">
                                              <a:avLst/>
                                            </a:prstGeom>
                                            <a:noFill/>
                                            <a:ln>
                                              <a:noFill/>
                                            </a:ln>
                                          </pic:spPr>
                                        </pic:pic>
                                      </a:graphicData>
                                    </a:graphic>
                                  </wp:inline>
                                </w:drawing>
                              </w:r>
                            </w:p>
                          </w:tc>
                        </w:tr>
                      </w:tbl>
                      <w:p w:rsidR="00C329C3" w:rsidRDefault="00C329C3" w:rsidP="00C329C3">
                        <w:pPr>
                          <w:rPr>
                            <w:rFonts w:eastAsia="Times New Roman"/>
                            <w:sz w:val="20"/>
                            <w:szCs w:val="20"/>
                          </w:rPr>
                        </w:pPr>
                      </w:p>
                    </w:tc>
                  </w:tr>
                </w:tbl>
                <w:p w:rsidR="00C329C3" w:rsidRDefault="00C329C3" w:rsidP="00C329C3">
                  <w:pPr>
                    <w:jc w:val="center"/>
                    <w:rPr>
                      <w:rFonts w:eastAsia="Times New Roman"/>
                      <w:sz w:val="20"/>
                      <w:szCs w:val="20"/>
                    </w:rPr>
                  </w:pPr>
                </w:p>
              </w:tc>
            </w:tr>
            <w:tr w:rsidR="00C329C3" w:rsidTr="00C329C3">
              <w:trPr>
                <w:trHeight w:val="918"/>
                <w:jc w:val="center"/>
              </w:trPr>
              <w:tc>
                <w:tcPr>
                  <w:tcW w:w="0" w:type="auto"/>
                  <w:vAlign w:val="center"/>
                  <w:hideMark/>
                </w:tcPr>
                <w:tbl>
                  <w:tblPr>
                    <w:tblW w:w="9045" w:type="dxa"/>
                    <w:jc w:val="center"/>
                    <w:tblCellMar>
                      <w:left w:w="0" w:type="dxa"/>
                      <w:right w:w="0" w:type="dxa"/>
                    </w:tblCellMar>
                    <w:tblLook w:val="04A0" w:firstRow="1" w:lastRow="0" w:firstColumn="1" w:lastColumn="0" w:noHBand="0" w:noVBand="1"/>
                  </w:tblPr>
                  <w:tblGrid>
                    <w:gridCol w:w="9045"/>
                  </w:tblGrid>
                  <w:tr w:rsidR="00C329C3" w:rsidTr="00C329C3">
                    <w:trPr>
                      <w:trHeight w:val="673"/>
                      <w:jc w:val="center"/>
                    </w:trPr>
                    <w:tc>
                      <w:tcPr>
                        <w:tcW w:w="5000" w:type="pct"/>
                        <w:shd w:val="clear" w:color="auto" w:fill="FFFFFF"/>
                        <w:tcMar>
                          <w:top w:w="75" w:type="dxa"/>
                          <w:left w:w="450" w:type="dxa"/>
                          <w:bottom w:w="0" w:type="dxa"/>
                          <w:right w:w="450" w:type="dxa"/>
                        </w:tcMar>
                        <w:vAlign w:val="center"/>
                        <w:hideMark/>
                      </w:tcPr>
                      <w:p w:rsidR="00C329C3" w:rsidRDefault="00C329C3" w:rsidP="00C329C3">
                        <w:pPr>
                          <w:pStyle w:val="Heading1"/>
                          <w:spacing w:before="75" w:beforeAutospacing="0" w:after="150" w:afterAutospacing="0" w:line="264" w:lineRule="auto"/>
                          <w:jc w:val="center"/>
                          <w:rPr>
                            <w:rFonts w:ascii="Arial" w:eastAsia="Times New Roman" w:hAnsi="Arial" w:cs="Arial"/>
                            <w:color w:val="003764"/>
                            <w:sz w:val="68"/>
                            <w:szCs w:val="68"/>
                          </w:rPr>
                        </w:pPr>
                        <w:r w:rsidRPr="00556F47">
                          <w:rPr>
                            <w:rFonts w:ascii="Arial" w:eastAsia="Times New Roman" w:hAnsi="Arial" w:cs="Arial"/>
                            <w:color w:val="003764"/>
                            <w:szCs w:val="68"/>
                          </w:rPr>
                          <w:t>OP-ED</w:t>
                        </w:r>
                      </w:p>
                    </w:tc>
                  </w:tr>
                </w:tbl>
                <w:p w:rsidR="00C329C3" w:rsidRDefault="00C329C3" w:rsidP="00C329C3">
                  <w:pPr>
                    <w:jc w:val="center"/>
                    <w:rPr>
                      <w:rFonts w:eastAsia="Times New Roman"/>
                      <w:sz w:val="20"/>
                      <w:szCs w:val="20"/>
                    </w:rPr>
                  </w:pPr>
                </w:p>
              </w:tc>
            </w:tr>
            <w:tr w:rsidR="00C329C3" w:rsidTr="00C329C3">
              <w:trPr>
                <w:trHeight w:val="80"/>
                <w:jc w:val="center"/>
              </w:trPr>
              <w:tc>
                <w:tcPr>
                  <w:tcW w:w="5000" w:type="pct"/>
                  <w:shd w:val="clear" w:color="auto" w:fill="DFDFDF"/>
                  <w:hideMark/>
                </w:tcPr>
                <w:tbl>
                  <w:tblPr>
                    <w:tblpPr w:vertAnchor="text"/>
                    <w:tblW w:w="9000" w:type="dxa"/>
                    <w:tblCellMar>
                      <w:left w:w="0" w:type="dxa"/>
                      <w:right w:w="0" w:type="dxa"/>
                    </w:tblCellMar>
                    <w:tblLook w:val="04A0" w:firstRow="1" w:lastRow="0" w:firstColumn="1" w:lastColumn="0" w:noHBand="0" w:noVBand="1"/>
                  </w:tblPr>
                  <w:tblGrid>
                    <w:gridCol w:w="6015"/>
                    <w:gridCol w:w="2985"/>
                  </w:tblGrid>
                  <w:tr w:rsidR="00C329C3">
                    <w:tc>
                      <w:tcPr>
                        <w:tcW w:w="3250" w:type="pct"/>
                        <w:hideMark/>
                      </w:tcPr>
                      <w:tbl>
                        <w:tblPr>
                          <w:tblpPr w:vertAnchor="text"/>
                          <w:tblW w:w="6015" w:type="dxa"/>
                          <w:tblCellMar>
                            <w:left w:w="0" w:type="dxa"/>
                            <w:right w:w="0" w:type="dxa"/>
                          </w:tblCellMar>
                          <w:tblLook w:val="04A0" w:firstRow="1" w:lastRow="0" w:firstColumn="1" w:lastColumn="0" w:noHBand="0" w:noVBand="1"/>
                        </w:tblPr>
                        <w:tblGrid>
                          <w:gridCol w:w="6015"/>
                        </w:tblGrid>
                        <w:tr w:rsidR="00C329C3" w:rsidTr="00C329C3">
                          <w:trPr>
                            <w:trHeight w:val="73"/>
                          </w:trPr>
                          <w:tc>
                            <w:tcPr>
                              <w:tcW w:w="5000" w:type="pct"/>
                              <w:tcMar>
                                <w:top w:w="90" w:type="dxa"/>
                                <w:left w:w="150" w:type="dxa"/>
                                <w:bottom w:w="75" w:type="dxa"/>
                                <w:right w:w="0" w:type="dxa"/>
                              </w:tcMar>
                              <w:hideMark/>
                            </w:tcPr>
                            <w:p w:rsidR="00C329C3" w:rsidRDefault="00C329C3" w:rsidP="00C329C3">
                              <w:pPr>
                                <w:pStyle w:val="gdp"/>
                                <w:spacing w:before="0" w:beforeAutospacing="0" w:after="0" w:afterAutospacing="0" w:line="336" w:lineRule="auto"/>
                                <w:rPr>
                                  <w:rFonts w:ascii="Arial" w:hAnsi="Arial" w:cs="Arial"/>
                                  <w:color w:val="003764"/>
                                  <w:sz w:val="18"/>
                                  <w:szCs w:val="18"/>
                                </w:rPr>
                              </w:pPr>
                              <w:r>
                                <w:rPr>
                                  <w:rFonts w:ascii="Arial" w:hAnsi="Arial" w:cs="Arial"/>
                                  <w:b/>
                                  <w:bCs/>
                                  <w:color w:val="003764"/>
                                  <w:sz w:val="18"/>
                                  <w:szCs w:val="18"/>
                                </w:rPr>
                                <w:t>May 9, 2017</w:t>
                              </w:r>
                            </w:p>
                          </w:tc>
                        </w:tr>
                      </w:tbl>
                      <w:p w:rsidR="00C329C3" w:rsidRDefault="00C329C3" w:rsidP="00C329C3">
                        <w:pPr>
                          <w:rPr>
                            <w:rFonts w:eastAsia="Times New Roman"/>
                            <w:sz w:val="20"/>
                            <w:szCs w:val="20"/>
                          </w:rPr>
                        </w:pPr>
                      </w:p>
                    </w:tc>
                    <w:tc>
                      <w:tcPr>
                        <w:tcW w:w="175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2985"/>
                        </w:tblGrid>
                        <w:tr w:rsidR="00C329C3">
                          <w:tc>
                            <w:tcPr>
                              <w:tcW w:w="5000" w:type="pct"/>
                              <w:tcMar>
                                <w:top w:w="90" w:type="dxa"/>
                                <w:left w:w="0" w:type="dxa"/>
                                <w:bottom w:w="75" w:type="dxa"/>
                                <w:right w:w="150" w:type="dxa"/>
                              </w:tcMar>
                              <w:hideMark/>
                            </w:tcPr>
                            <w:p w:rsidR="00C329C3" w:rsidRDefault="00C329C3" w:rsidP="00C329C3">
                              <w:pPr>
                                <w:pStyle w:val="gdp"/>
                                <w:spacing w:before="0" w:beforeAutospacing="0" w:after="0" w:afterAutospacing="0" w:line="336" w:lineRule="auto"/>
                                <w:jc w:val="right"/>
                                <w:rPr>
                                  <w:rFonts w:ascii="Arial" w:hAnsi="Arial" w:cs="Arial"/>
                                  <w:color w:val="003764"/>
                                  <w:sz w:val="18"/>
                                  <w:szCs w:val="18"/>
                                </w:rPr>
                              </w:pPr>
                            </w:p>
                          </w:tc>
                        </w:tr>
                      </w:tbl>
                      <w:p w:rsidR="00C329C3" w:rsidRDefault="00C329C3" w:rsidP="00C329C3">
                        <w:pPr>
                          <w:rPr>
                            <w:rFonts w:eastAsia="Times New Roman"/>
                            <w:sz w:val="20"/>
                            <w:szCs w:val="20"/>
                          </w:rPr>
                        </w:pPr>
                      </w:p>
                    </w:tc>
                  </w:tr>
                </w:tbl>
                <w:p w:rsidR="00C329C3" w:rsidRDefault="00C329C3" w:rsidP="00C329C3">
                  <w:pPr>
                    <w:rPr>
                      <w:rFonts w:eastAsia="Times New Roman"/>
                      <w:sz w:val="20"/>
                      <w:szCs w:val="20"/>
                    </w:rPr>
                  </w:pPr>
                </w:p>
              </w:tc>
            </w:tr>
            <w:tr w:rsidR="00C329C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29C3" w:rsidTr="00C329C3">
                    <w:trPr>
                      <w:trHeight w:val="80"/>
                      <w:jc w:val="center"/>
                    </w:trPr>
                    <w:tc>
                      <w:tcPr>
                        <w:tcW w:w="5000" w:type="pct"/>
                        <w:shd w:val="clear" w:color="auto" w:fill="FFFFFF"/>
                        <w:tcMar>
                          <w:top w:w="0" w:type="dxa"/>
                          <w:left w:w="300" w:type="dxa"/>
                          <w:bottom w:w="0" w:type="dxa"/>
                          <w:right w:w="300" w:type="dxa"/>
                        </w:tcMar>
                        <w:vAlign w:val="center"/>
                        <w:hideMark/>
                      </w:tcPr>
                      <w:p w:rsidR="00C329C3" w:rsidRDefault="00C329C3" w:rsidP="00C329C3">
                        <w:pPr>
                          <w:jc w:val="center"/>
                          <w:rPr>
                            <w:rFonts w:eastAsia="Times New Roman"/>
                            <w:sz w:val="24"/>
                            <w:szCs w:val="24"/>
                          </w:rPr>
                        </w:pPr>
                      </w:p>
                    </w:tc>
                  </w:tr>
                </w:tbl>
                <w:p w:rsidR="00C329C3" w:rsidRDefault="00C329C3" w:rsidP="00C329C3">
                  <w:pPr>
                    <w:jc w:val="center"/>
                    <w:rPr>
                      <w:rFonts w:eastAsia="Times New Roman"/>
                      <w:sz w:val="20"/>
                      <w:szCs w:val="20"/>
                    </w:rPr>
                  </w:pPr>
                </w:p>
              </w:tc>
            </w:tr>
            <w:tr w:rsidR="00C329C3">
              <w:trPr>
                <w:jc w:val="center"/>
              </w:trPr>
              <w:tc>
                <w:tcPr>
                  <w:tcW w:w="0" w:type="auto"/>
                  <w:vAlign w:val="center"/>
                  <w:hideMark/>
                </w:tcPr>
                <w:tbl>
                  <w:tblPr>
                    <w:tblW w:w="10103" w:type="dxa"/>
                    <w:tblCellMar>
                      <w:left w:w="0" w:type="dxa"/>
                      <w:right w:w="0" w:type="dxa"/>
                    </w:tblCellMar>
                    <w:tblLook w:val="04A0" w:firstRow="1" w:lastRow="0" w:firstColumn="1" w:lastColumn="0" w:noHBand="0" w:noVBand="1"/>
                  </w:tblPr>
                  <w:tblGrid>
                    <w:gridCol w:w="10103"/>
                  </w:tblGrid>
                  <w:tr w:rsidR="00C329C3" w:rsidTr="00C329C3">
                    <w:trPr>
                      <w:trHeight w:val="10378"/>
                    </w:trPr>
                    <w:tc>
                      <w:tcPr>
                        <w:tcW w:w="5000" w:type="pct"/>
                        <w:shd w:val="clear" w:color="auto" w:fill="FFFFFF"/>
                        <w:tcMar>
                          <w:top w:w="150" w:type="dxa"/>
                          <w:left w:w="300" w:type="dxa"/>
                          <w:bottom w:w="300" w:type="dxa"/>
                          <w:right w:w="300" w:type="dxa"/>
                        </w:tcMar>
                        <w:vAlign w:val="center"/>
                        <w:hideMark/>
                      </w:tcPr>
                      <w:p w:rsidR="00C329C3" w:rsidRDefault="00C329C3" w:rsidP="00C329C3">
                        <w:pPr>
                          <w:pStyle w:val="Heading1"/>
                          <w:spacing w:before="75" w:beforeAutospacing="0" w:after="150" w:afterAutospacing="0" w:line="264" w:lineRule="auto"/>
                          <w:ind w:left="-296"/>
                          <w:rPr>
                            <w:rFonts w:ascii="Arial" w:eastAsia="Times New Roman" w:hAnsi="Arial" w:cs="Arial"/>
                            <w:color w:val="003764"/>
                            <w:sz w:val="30"/>
                            <w:szCs w:val="30"/>
                          </w:rPr>
                        </w:pPr>
                        <w:r>
                          <w:rPr>
                            <w:rFonts w:ascii="Arial" w:eastAsia="Times New Roman" w:hAnsi="Arial" w:cs="Arial"/>
                            <w:color w:val="003764"/>
                            <w:sz w:val="30"/>
                            <w:szCs w:val="30"/>
                          </w:rPr>
                          <w:t>Children desperately need foster families now</w:t>
                        </w:r>
                      </w:p>
                      <w:p w:rsidR="00C329C3" w:rsidRDefault="00C329C3" w:rsidP="00C329C3">
                        <w:pPr>
                          <w:pStyle w:val="Heading2"/>
                          <w:spacing w:before="75" w:beforeAutospacing="0" w:after="150" w:afterAutospacing="0" w:line="264" w:lineRule="auto"/>
                          <w:ind w:left="-296"/>
                          <w:rPr>
                            <w:rFonts w:ascii="Arial" w:eastAsia="Times New Roman" w:hAnsi="Arial" w:cs="Arial"/>
                            <w:color w:val="0D5258"/>
                            <w:sz w:val="21"/>
                            <w:szCs w:val="21"/>
                          </w:rPr>
                        </w:pPr>
                        <w:r>
                          <w:rPr>
                            <w:rFonts w:ascii="Arial" w:eastAsia="Times New Roman" w:hAnsi="Arial" w:cs="Arial"/>
                            <w:color w:val="0D5258"/>
                            <w:sz w:val="21"/>
                            <w:szCs w:val="21"/>
                          </w:rPr>
                          <w:t>By Commissioner Emily Piper, Minnesota Department of Human Services</w:t>
                        </w:r>
                      </w:p>
                      <w:p w:rsidR="00C329C3" w:rsidRDefault="00C329C3" w:rsidP="00C329C3">
                        <w:pPr>
                          <w:pStyle w:val="gdp"/>
                          <w:spacing w:before="150" w:beforeAutospacing="0" w:after="150" w:afterAutospacing="0" w:line="336" w:lineRule="auto"/>
                          <w:ind w:left="-296"/>
                          <w:rPr>
                            <w:rFonts w:ascii="Arial" w:hAnsi="Arial" w:cs="Arial"/>
                            <w:color w:val="000000"/>
                            <w:sz w:val="18"/>
                            <w:szCs w:val="18"/>
                          </w:rPr>
                        </w:pPr>
                        <w:r>
                          <w:rPr>
                            <w:rFonts w:ascii="Arial" w:hAnsi="Arial" w:cs="Arial"/>
                            <w:color w:val="000000"/>
                            <w:sz w:val="18"/>
                            <w:szCs w:val="18"/>
                          </w:rPr>
                          <w:t>Children in need of foster care come from all families, all areas of the state, all socio-economic backgrounds. What they share in common are their struggles. Most have been abused or neglected; some are dependent on alcohol or drugs; some have mental health concerns; some have had encounters with the juvenile justice system; some have parents who are chemically dependent, cannot cope due to illness or have been incarcerated. All need our help.</w:t>
                        </w:r>
                      </w:p>
                      <w:p w:rsidR="00C329C3" w:rsidRDefault="00C329C3" w:rsidP="00C329C3">
                        <w:pPr>
                          <w:pStyle w:val="gdp"/>
                          <w:spacing w:before="150" w:beforeAutospacing="0" w:after="150" w:afterAutospacing="0" w:line="336" w:lineRule="auto"/>
                          <w:ind w:left="-296"/>
                          <w:rPr>
                            <w:rFonts w:ascii="Arial" w:hAnsi="Arial" w:cs="Arial"/>
                            <w:color w:val="000000"/>
                            <w:sz w:val="18"/>
                            <w:szCs w:val="18"/>
                          </w:rPr>
                        </w:pPr>
                        <w:r>
                          <w:rPr>
                            <w:rFonts w:ascii="Arial" w:hAnsi="Arial" w:cs="Arial"/>
                            <w:color w:val="000000"/>
                            <w:sz w:val="18"/>
                            <w:szCs w:val="18"/>
                          </w:rPr>
                          <w:t>The need for foster parents is greater than ever. In the past three years, the number of children in Minnesota’s foster care system on an average day has increased by 51 percent, from about 6,200 in 2013 to about 9,400 in 2016. The growing numbers of children in the child protection system due, in part, to increased awareness about child protection issues, changes in how reports are reviewed, a growing opioid crisis, and children staying in care longer, have led to an increased number of foster children.</w:t>
                        </w:r>
                      </w:p>
                      <w:p w:rsidR="00C329C3" w:rsidRDefault="00C329C3" w:rsidP="00C329C3">
                        <w:pPr>
                          <w:pStyle w:val="gdp"/>
                          <w:spacing w:before="150" w:beforeAutospacing="0" w:after="150" w:afterAutospacing="0" w:line="336" w:lineRule="auto"/>
                          <w:ind w:left="-296"/>
                          <w:rPr>
                            <w:rFonts w:ascii="Arial" w:hAnsi="Arial" w:cs="Arial"/>
                            <w:color w:val="000000"/>
                            <w:sz w:val="18"/>
                            <w:szCs w:val="18"/>
                          </w:rPr>
                        </w:pPr>
                        <w:r>
                          <w:rPr>
                            <w:rFonts w:ascii="Arial" w:hAnsi="Arial" w:cs="Arial"/>
                            <w:color w:val="000000"/>
                            <w:sz w:val="18"/>
                            <w:szCs w:val="18"/>
                          </w:rPr>
                          <w:t>Some of these children are in group residential settings but most are in family foster care. They need foster parents to welcome them into their homes, recognize their struggles, accept them for who they are and help them move forward.</w:t>
                        </w:r>
                      </w:p>
                      <w:p w:rsidR="00C329C3" w:rsidRDefault="00C329C3" w:rsidP="00C329C3">
                        <w:pPr>
                          <w:pStyle w:val="gdp"/>
                          <w:spacing w:before="150" w:beforeAutospacing="0" w:after="150" w:afterAutospacing="0" w:line="336" w:lineRule="auto"/>
                          <w:ind w:left="-296"/>
                          <w:rPr>
                            <w:rFonts w:ascii="Arial" w:hAnsi="Arial" w:cs="Arial"/>
                            <w:color w:val="000000"/>
                            <w:sz w:val="18"/>
                            <w:szCs w:val="18"/>
                          </w:rPr>
                        </w:pPr>
                        <w:r>
                          <w:rPr>
                            <w:rFonts w:ascii="Arial" w:hAnsi="Arial" w:cs="Arial"/>
                            <w:color w:val="000000"/>
                            <w:sz w:val="18"/>
                            <w:szCs w:val="18"/>
                          </w:rPr>
                          <w:t>We need more foster parents who care for children in crisis. We cannot underestimate the power of our foster families who care for children who may be frightened or who have experienced trauma, and give children the structure, nurturing and stability of everyday life. I know foster parents face challenges caring for children who are hurt and angry. I greatly appreciate all they do to help children get the critical care they need until they can safely reunite with their families – which most do – or, when necessary, find permanent families – often through adoption.</w:t>
                        </w:r>
                      </w:p>
                      <w:p w:rsidR="00C329C3" w:rsidRDefault="00C329C3" w:rsidP="00C329C3">
                        <w:pPr>
                          <w:pStyle w:val="gdp"/>
                          <w:spacing w:before="150" w:beforeAutospacing="0" w:after="150" w:afterAutospacing="0" w:line="336" w:lineRule="auto"/>
                          <w:ind w:left="-296"/>
                          <w:rPr>
                            <w:rFonts w:ascii="Arial" w:hAnsi="Arial" w:cs="Arial"/>
                            <w:color w:val="000000"/>
                            <w:sz w:val="18"/>
                            <w:szCs w:val="18"/>
                          </w:rPr>
                        </w:pPr>
                        <w:r>
                          <w:rPr>
                            <w:rFonts w:ascii="Arial" w:hAnsi="Arial" w:cs="Arial"/>
                            <w:color w:val="000000"/>
                            <w:sz w:val="18"/>
                            <w:szCs w:val="18"/>
                          </w:rPr>
                          <w:t>For current foster parents and those considering becoming foster parents, help is available. The Minnesota Department of Human Services works with counties and tribes to offer supports to foster families, including:</w:t>
                        </w:r>
                      </w:p>
                      <w:p w:rsidR="00C329C3" w:rsidRDefault="00C329C3" w:rsidP="00C329C3">
                        <w:pPr>
                          <w:numPr>
                            <w:ilvl w:val="0"/>
                            <w:numId w:val="1"/>
                          </w:numPr>
                          <w:spacing w:after="0" w:line="336" w:lineRule="auto"/>
                          <w:ind w:left="-296"/>
                          <w:rPr>
                            <w:rFonts w:ascii="Arial" w:eastAsia="Times New Roman" w:hAnsi="Arial" w:cs="Arial"/>
                            <w:color w:val="000000"/>
                            <w:sz w:val="18"/>
                            <w:szCs w:val="18"/>
                          </w:rPr>
                        </w:pPr>
                        <w:r>
                          <w:rPr>
                            <w:rFonts w:ascii="Arial" w:eastAsia="Times New Roman" w:hAnsi="Arial" w:cs="Arial"/>
                            <w:b/>
                            <w:bCs/>
                            <w:color w:val="000000"/>
                            <w:sz w:val="18"/>
                            <w:szCs w:val="18"/>
                          </w:rPr>
                          <w:t>Training, both online and in person</w:t>
                        </w:r>
                        <w:r>
                          <w:rPr>
                            <w:rFonts w:ascii="Arial" w:eastAsia="Times New Roman" w:hAnsi="Arial" w:cs="Arial"/>
                            <w:color w:val="000000"/>
                            <w:sz w:val="18"/>
                            <w:szCs w:val="18"/>
                          </w:rPr>
                          <w:t xml:space="preserve">; those considering becoming foster parents can access training through their counties and tribes to learn about becoming foster parents, providing culturally responsive services, and building on families’ strengths to support children’s safety and well-being </w:t>
                        </w:r>
                      </w:p>
                      <w:p w:rsidR="00C329C3" w:rsidRDefault="00C329C3" w:rsidP="00C329C3">
                        <w:pPr>
                          <w:numPr>
                            <w:ilvl w:val="0"/>
                            <w:numId w:val="1"/>
                          </w:numPr>
                          <w:spacing w:after="0" w:line="336" w:lineRule="auto"/>
                          <w:ind w:left="-296"/>
                          <w:rPr>
                            <w:rFonts w:ascii="Arial" w:eastAsia="Times New Roman" w:hAnsi="Arial" w:cs="Arial"/>
                            <w:color w:val="000000"/>
                            <w:sz w:val="18"/>
                            <w:szCs w:val="18"/>
                          </w:rPr>
                        </w:pPr>
                        <w:r>
                          <w:rPr>
                            <w:rFonts w:ascii="Arial" w:eastAsia="Times New Roman" w:hAnsi="Arial" w:cs="Arial"/>
                            <w:b/>
                            <w:bCs/>
                            <w:color w:val="000000"/>
                            <w:sz w:val="18"/>
                            <w:szCs w:val="18"/>
                          </w:rPr>
                          <w:t xml:space="preserve">Financial support; </w:t>
                        </w:r>
                        <w:r>
                          <w:rPr>
                            <w:rFonts w:ascii="Arial" w:eastAsia="Times New Roman" w:hAnsi="Arial" w:cs="Arial"/>
                            <w:color w:val="000000"/>
                            <w:sz w:val="18"/>
                            <w:szCs w:val="18"/>
                          </w:rPr>
                          <w:t xml:space="preserve">financial support to meet foster children’s needs is available to eligible families through </w:t>
                        </w:r>
                        <w:proofErr w:type="spellStart"/>
                        <w:r>
                          <w:rPr>
                            <w:rFonts w:ascii="Arial" w:eastAsia="Times New Roman" w:hAnsi="Arial" w:cs="Arial"/>
                            <w:color w:val="000000"/>
                            <w:sz w:val="18"/>
                            <w:szCs w:val="18"/>
                          </w:rPr>
                          <w:t>Northstar</w:t>
                        </w:r>
                        <w:proofErr w:type="spellEnd"/>
                        <w:r>
                          <w:rPr>
                            <w:rFonts w:ascii="Arial" w:eastAsia="Times New Roman" w:hAnsi="Arial" w:cs="Arial"/>
                            <w:color w:val="000000"/>
                            <w:sz w:val="18"/>
                            <w:szCs w:val="18"/>
                          </w:rPr>
                          <w:t xml:space="preserve"> Care for Children; beginning July 1, 2017, the basic rate for </w:t>
                        </w:r>
                        <w:proofErr w:type="spellStart"/>
                        <w:r>
                          <w:rPr>
                            <w:rFonts w:ascii="Arial" w:eastAsia="Times New Roman" w:hAnsi="Arial" w:cs="Arial"/>
                            <w:color w:val="000000"/>
                            <w:sz w:val="18"/>
                            <w:szCs w:val="18"/>
                          </w:rPr>
                          <w:t>Northstar</w:t>
                        </w:r>
                        <w:proofErr w:type="spellEnd"/>
                        <w:r>
                          <w:rPr>
                            <w:rFonts w:ascii="Arial" w:eastAsia="Times New Roman" w:hAnsi="Arial" w:cs="Arial"/>
                            <w:color w:val="000000"/>
                            <w:sz w:val="18"/>
                            <w:szCs w:val="18"/>
                          </w:rPr>
                          <w:t xml:space="preserve"> Care for Children will increase by 15 percent, which will help foster children; during the final weeks of the 2017 legislative session, we are pushing to ensure children under age 6 will receive the same benefits at the time of permanency as older children in </w:t>
                        </w:r>
                        <w:proofErr w:type="spellStart"/>
                        <w:r>
                          <w:rPr>
                            <w:rFonts w:ascii="Arial" w:eastAsia="Times New Roman" w:hAnsi="Arial" w:cs="Arial"/>
                            <w:color w:val="000000"/>
                            <w:sz w:val="18"/>
                            <w:szCs w:val="18"/>
                          </w:rPr>
                          <w:t>Northstar</w:t>
                        </w:r>
                        <w:proofErr w:type="spellEnd"/>
                        <w:r>
                          <w:rPr>
                            <w:rFonts w:ascii="Arial" w:eastAsia="Times New Roman" w:hAnsi="Arial" w:cs="Arial"/>
                            <w:color w:val="000000"/>
                            <w:sz w:val="18"/>
                            <w:szCs w:val="18"/>
                          </w:rPr>
                          <w:t xml:space="preserve"> Care for Children </w:t>
                        </w:r>
                      </w:p>
                      <w:p w:rsidR="00C329C3" w:rsidRDefault="00C329C3" w:rsidP="00C329C3">
                        <w:pPr>
                          <w:numPr>
                            <w:ilvl w:val="0"/>
                            <w:numId w:val="1"/>
                          </w:numPr>
                          <w:spacing w:after="0" w:line="336" w:lineRule="auto"/>
                          <w:ind w:left="-296"/>
                          <w:rPr>
                            <w:rFonts w:ascii="Arial" w:eastAsia="Times New Roman" w:hAnsi="Arial" w:cs="Arial"/>
                            <w:color w:val="000000"/>
                            <w:sz w:val="18"/>
                            <w:szCs w:val="18"/>
                          </w:rPr>
                        </w:pPr>
                        <w:r>
                          <w:rPr>
                            <w:rFonts w:ascii="Arial" w:eastAsia="Times New Roman" w:hAnsi="Arial" w:cs="Arial"/>
                            <w:b/>
                            <w:bCs/>
                            <w:color w:val="000000"/>
                            <w:sz w:val="18"/>
                            <w:szCs w:val="18"/>
                          </w:rPr>
                          <w:t xml:space="preserve">Forgotten Children’s Fund; </w:t>
                        </w:r>
                        <w:r>
                          <w:rPr>
                            <w:rFonts w:ascii="Arial" w:eastAsia="Times New Roman" w:hAnsi="Arial" w:cs="Arial"/>
                            <w:color w:val="000000"/>
                            <w:sz w:val="18"/>
                            <w:szCs w:val="18"/>
                          </w:rPr>
                          <w:t xml:space="preserve">counties and tribes can access this fund on behalf of foster children to cover the costs of bikes, class rings, art supplies, sports equipment, driver's education classes and other one-time special expenses. </w:t>
                        </w:r>
                      </w:p>
                      <w:p w:rsidR="00C329C3" w:rsidRDefault="00C329C3" w:rsidP="00C329C3">
                        <w:pPr>
                          <w:pStyle w:val="gdp"/>
                          <w:spacing w:before="150" w:beforeAutospacing="0" w:after="150" w:afterAutospacing="0" w:line="336" w:lineRule="auto"/>
                          <w:ind w:left="-296" w:right="-379"/>
                          <w:rPr>
                            <w:rFonts w:eastAsia="Times New Roman"/>
                          </w:rPr>
                        </w:pPr>
                        <w:r>
                          <w:rPr>
                            <w:rFonts w:ascii="Arial" w:hAnsi="Arial" w:cs="Arial"/>
                            <w:color w:val="000000"/>
                            <w:sz w:val="18"/>
                            <w:szCs w:val="18"/>
                          </w:rPr>
                          <w:t xml:space="preserve">The time is now. The need is critical. Children are waiting. I urge Minnesotans to consider becoming foster parents. To learn more, contact county or tribal social service agencies or licensed child placement agencies, and check out the department’s website, </w:t>
                        </w:r>
                        <w:hyperlink r:id="rId7" w:history="1">
                          <w:r>
                            <w:rPr>
                              <w:rStyle w:val="Hyperlink"/>
                              <w:rFonts w:ascii="Arial" w:hAnsi="Arial" w:cs="Arial"/>
                              <w:color w:val="1A4A73"/>
                              <w:sz w:val="18"/>
                              <w:szCs w:val="18"/>
                            </w:rPr>
                            <w:t>www.mn.gov/dhs</w:t>
                          </w:r>
                        </w:hyperlink>
                        <w:r>
                          <w:rPr>
                            <w:rFonts w:ascii="Arial" w:hAnsi="Arial" w:cs="Arial"/>
                            <w:color w:val="000000"/>
                            <w:sz w:val="18"/>
                            <w:szCs w:val="18"/>
                          </w:rPr>
                          <w:t>. </w:t>
                        </w:r>
                      </w:p>
                    </w:tc>
                  </w:tr>
                </w:tbl>
                <w:p w:rsidR="00C329C3" w:rsidRDefault="00C329C3" w:rsidP="00C329C3">
                  <w:pPr>
                    <w:jc w:val="center"/>
                    <w:rPr>
                      <w:rFonts w:eastAsia="Times New Roman"/>
                      <w:sz w:val="20"/>
                      <w:szCs w:val="20"/>
                    </w:rPr>
                  </w:pPr>
                </w:p>
              </w:tc>
            </w:tr>
            <w:tr w:rsidR="00C329C3">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29C3">
                    <w:trPr>
                      <w:jc w:val="center"/>
                    </w:trPr>
                    <w:tc>
                      <w:tcPr>
                        <w:tcW w:w="5000" w:type="pct"/>
                        <w:shd w:val="clear" w:color="auto" w:fill="96999B"/>
                        <w:vAlign w:val="center"/>
                        <w:hideMark/>
                      </w:tcPr>
                      <w:p w:rsidR="00C329C3" w:rsidRDefault="00C329C3" w:rsidP="00C329C3">
                        <w:pPr>
                          <w:rPr>
                            <w:rFonts w:eastAsia="Times New Roman"/>
                            <w:sz w:val="20"/>
                            <w:szCs w:val="20"/>
                          </w:rPr>
                        </w:pPr>
                      </w:p>
                    </w:tc>
                  </w:tr>
                </w:tbl>
                <w:p w:rsidR="00C329C3" w:rsidRDefault="00C329C3" w:rsidP="00C329C3">
                  <w:pPr>
                    <w:jc w:val="center"/>
                    <w:rPr>
                      <w:rFonts w:eastAsia="Times New Roman"/>
                      <w:sz w:val="20"/>
                      <w:szCs w:val="20"/>
                    </w:rPr>
                  </w:pPr>
                </w:p>
              </w:tc>
            </w:tr>
          </w:tbl>
          <w:p w:rsidR="00C329C3" w:rsidRDefault="00C329C3">
            <w:pPr>
              <w:jc w:val="center"/>
              <w:rPr>
                <w:rFonts w:eastAsia="Times New Roman"/>
                <w:sz w:val="20"/>
                <w:szCs w:val="20"/>
              </w:rPr>
            </w:pPr>
          </w:p>
        </w:tc>
        <w:bookmarkStart w:id="0" w:name="_GoBack"/>
        <w:bookmarkEnd w:id="0"/>
      </w:tr>
    </w:tbl>
    <w:p w:rsidR="003E0EF4" w:rsidRPr="00C329C3" w:rsidRDefault="003E0EF4" w:rsidP="00051B4F">
      <w:pPr>
        <w:tabs>
          <w:tab w:val="left" w:pos="4560"/>
        </w:tabs>
      </w:pPr>
    </w:p>
    <w:sectPr w:rsidR="003E0EF4" w:rsidRPr="00C329C3" w:rsidSect="00C329C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C5BF4"/>
    <w:multiLevelType w:val="multilevel"/>
    <w:tmpl w:val="B1048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C3"/>
    <w:rsid w:val="00051B4F"/>
    <w:rsid w:val="003E0EF4"/>
    <w:rsid w:val="00556F47"/>
    <w:rsid w:val="00C3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9C3"/>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C329C3"/>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C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329C3"/>
    <w:rPr>
      <w:rFonts w:ascii="Times New Roman" w:hAnsi="Times New Roman" w:cs="Times New Roman"/>
      <w:b/>
      <w:bCs/>
      <w:sz w:val="36"/>
      <w:szCs w:val="36"/>
    </w:rPr>
  </w:style>
  <w:style w:type="character" w:styleId="Hyperlink">
    <w:name w:val="Hyperlink"/>
    <w:basedOn w:val="DefaultParagraphFont"/>
    <w:uiPriority w:val="99"/>
    <w:semiHidden/>
    <w:unhideWhenUsed/>
    <w:rsid w:val="00C329C3"/>
    <w:rPr>
      <w:color w:val="0000FF"/>
      <w:u w:val="single"/>
    </w:rPr>
  </w:style>
  <w:style w:type="paragraph" w:customStyle="1" w:styleId="gdp">
    <w:name w:val="gd_p"/>
    <w:basedOn w:val="Normal"/>
    <w:uiPriority w:val="99"/>
    <w:rsid w:val="00C329C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3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9C3"/>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C329C3"/>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9C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329C3"/>
    <w:rPr>
      <w:rFonts w:ascii="Times New Roman" w:hAnsi="Times New Roman" w:cs="Times New Roman"/>
      <w:b/>
      <w:bCs/>
      <w:sz w:val="36"/>
      <w:szCs w:val="36"/>
    </w:rPr>
  </w:style>
  <w:style w:type="character" w:styleId="Hyperlink">
    <w:name w:val="Hyperlink"/>
    <w:basedOn w:val="DefaultParagraphFont"/>
    <w:uiPriority w:val="99"/>
    <w:semiHidden/>
    <w:unhideWhenUsed/>
    <w:rsid w:val="00C329C3"/>
    <w:rPr>
      <w:color w:val="0000FF"/>
      <w:u w:val="single"/>
    </w:rPr>
  </w:style>
  <w:style w:type="paragraph" w:customStyle="1" w:styleId="gdp">
    <w:name w:val="gd_p"/>
    <w:basedOn w:val="Normal"/>
    <w:uiPriority w:val="99"/>
    <w:rsid w:val="00C329C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3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42633">
      <w:bodyDiv w:val="1"/>
      <w:marLeft w:val="0"/>
      <w:marRight w:val="0"/>
      <w:marTop w:val="0"/>
      <w:marBottom w:val="0"/>
      <w:divBdr>
        <w:top w:val="none" w:sz="0" w:space="0" w:color="auto"/>
        <w:left w:val="none" w:sz="0" w:space="0" w:color="auto"/>
        <w:bottom w:val="none" w:sz="0" w:space="0" w:color="auto"/>
        <w:right w:val="none" w:sz="0" w:space="0" w:color="auto"/>
      </w:divBdr>
    </w:div>
    <w:div w:id="14759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inks.govdelivery.com:80/track?type=click&amp;enid=ZWFzPTEmbWFpbGluZ2lkPTIwMTcwNTA5LjczMTc3NjAxJm1lc3NhZ2VpZD1NREItUFJELUJVTC0yMDE3MDUwOS43MzE3NzYwMSZkYXRhYmFzZWlkPTEwMDEmc2VyaWFsPTE3MTk4MTcyJmVtYWlsaWQ9bGluZHNheWJAY28ubW93ZXIubW4udXMmdXNlcmlkPWxpbmRzYXliQGNvLm1vd2VyLm1uLnVzJmZsPSZleHRyYT1NdWx0aXZhcmlhdGVJZD0mJiY=&amp;&amp;&amp;101&amp;&amp;&amp;http://www.mn.gov/d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Moon</dc:creator>
  <cp:lastModifiedBy>Diana Moon</cp:lastModifiedBy>
  <cp:revision>1</cp:revision>
  <cp:lastPrinted>2017-05-10T13:37:00Z</cp:lastPrinted>
  <dcterms:created xsi:type="dcterms:W3CDTF">2017-05-10T13:28:00Z</dcterms:created>
  <dcterms:modified xsi:type="dcterms:W3CDTF">2017-05-10T13:53:00Z</dcterms:modified>
</cp:coreProperties>
</file>